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160" w:type="dxa"/>
              <w:left w:w="120" w:type="dxa"/>
              <w:bottom w:w="16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HEMŞİRELİK BÖLÜMÜ 2025-2026 EĞİTİM-ÖĞRETİM YILI İŞVEREN STAJ UYGULAMA DEĞERLENDİRME RAPORU</w:t>
            </w:r>
          </w:p>
        </w:tc>
      </w:tr>
    </w:tbl>
    <w:p w:rsidR="009A264A" w:rsidRPr="00C24EF5" w:rsidRDefault="009A264A" w:rsidP="00C24EF5">
      <w:pPr>
        <w:spacing w:after="200"/>
        <w:jc w:val="both"/>
        <w:rPr>
          <w:rFonts w:ascii="Calibri" w:hAnsi="Calibri" w:cs="Calibri"/>
        </w:rPr>
      </w:pPr>
    </w:p>
    <w:p w:rsidR="009A264A" w:rsidRPr="00C24EF5" w:rsidRDefault="002431D6" w:rsidP="00C24EF5">
      <w:pPr>
        <w:pStyle w:val="Balk1"/>
        <w:jc w:val="both"/>
        <w:rPr>
          <w:rFonts w:ascii="Calibri" w:hAnsi="Calibri" w:cs="Calibri"/>
          <w:sz w:val="22"/>
          <w:szCs w:val="22"/>
        </w:rPr>
      </w:pPr>
      <w:r w:rsidRPr="00C24EF5">
        <w:rPr>
          <w:rFonts w:ascii="Calibri" w:hAnsi="Calibri" w:cs="Calibri"/>
          <w:sz w:val="22"/>
          <w:szCs w:val="22"/>
        </w:rPr>
        <w:t>GENEL BİLGİLER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Anketin Amacı ve Kapsamı</w:t>
            </w:r>
          </w:p>
        </w:tc>
        <w:tc>
          <w:tcPr>
            <w:tcW w:w="6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Hemşirelik Bölümü öğrencilerinin staj yaptığı kurum ve kuruluşların, stajyer öğrencilere ve staj sürecine ilişkin görüş ile değerlendirmelerinin belirlenmesini kapsamaktadır.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Anketin Uygulanması ve Şekli</w:t>
            </w:r>
          </w:p>
        </w:tc>
        <w:tc>
          <w:tcPr>
            <w:tcW w:w="6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2025-2026 Eğitim-Öğretim Yılında öğrencilerin staj yaptığı kurum/kuruluş yöneticileri veya staj sorumlu personeline Google Formlar üzerinden elektronik anket uygulanmıştır.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Anketi Uygulayan</w:t>
            </w:r>
          </w:p>
        </w:tc>
        <w:tc>
          <w:tcPr>
            <w:tcW w:w="6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Hemşirelik Bölümü, Staj Koordinatörlüğü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Raporu Hazırlayan Komisy</w:t>
            </w:r>
            <w:r w:rsidRPr="00C24EF5">
              <w:rPr>
                <w:rFonts w:ascii="Calibri" w:hAnsi="Calibri" w:cs="Calibri"/>
                <w:b/>
                <w:bCs/>
              </w:rPr>
              <w:t>on ve Üyeleri</w:t>
            </w:r>
          </w:p>
        </w:tc>
        <w:tc>
          <w:tcPr>
            <w:tcW w:w="6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Hemşirelik Bölümü, Kalite Komisyonu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Ankete Katılan Kurum Sayısı</w:t>
            </w:r>
          </w:p>
        </w:tc>
        <w:tc>
          <w:tcPr>
            <w:tcW w:w="6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4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Katılım Sağlayan Kurumlar</w:t>
            </w:r>
          </w:p>
        </w:tc>
        <w:tc>
          <w:tcPr>
            <w:tcW w:w="6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 xml:space="preserve">VM </w:t>
            </w:r>
            <w:proofErr w:type="spellStart"/>
            <w:r w:rsidRPr="00C24EF5">
              <w:rPr>
                <w:rFonts w:ascii="Calibri" w:hAnsi="Calibri" w:cs="Calibri"/>
              </w:rPr>
              <w:t>Medicalpark</w:t>
            </w:r>
            <w:proofErr w:type="spellEnd"/>
            <w:r w:rsidRPr="00C24EF5">
              <w:rPr>
                <w:rFonts w:ascii="Calibri" w:hAnsi="Calibri" w:cs="Calibri"/>
              </w:rPr>
              <w:t xml:space="preserve"> Mersin Hastanesi; Mersin Şehir Eğitim ve Araştırma Hastanesi; Yardım ve İyilik Vakfı Özel Huzurevi ve </w:t>
            </w:r>
            <w:proofErr w:type="spellStart"/>
            <w:r w:rsidRPr="00C24EF5">
              <w:rPr>
                <w:rFonts w:ascii="Calibri" w:hAnsi="Calibri" w:cs="Calibri"/>
              </w:rPr>
              <w:t>YaşlıBakim</w:t>
            </w:r>
            <w:proofErr w:type="spellEnd"/>
            <w:r w:rsidRPr="00C24EF5">
              <w:rPr>
                <w:rFonts w:ascii="Calibri" w:hAnsi="Calibri" w:cs="Calibri"/>
              </w:rPr>
              <w:t xml:space="preserve"> Merkezi; Özel Toros </w:t>
            </w:r>
            <w:r w:rsidRPr="00C24EF5">
              <w:rPr>
                <w:rFonts w:ascii="Calibri" w:hAnsi="Calibri" w:cs="Calibri"/>
              </w:rPr>
              <w:t>Koleji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Uygulama Tarihi</w:t>
            </w:r>
          </w:p>
        </w:tc>
        <w:tc>
          <w:tcPr>
            <w:tcW w:w="6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2025-2026 Eğitim-Öğretim Yılı</w:t>
            </w:r>
          </w:p>
        </w:tc>
      </w:tr>
    </w:tbl>
    <w:p w:rsidR="009A264A" w:rsidRPr="00C24EF5" w:rsidRDefault="009A264A" w:rsidP="00C24EF5">
      <w:pPr>
        <w:spacing w:after="200"/>
        <w:jc w:val="both"/>
        <w:rPr>
          <w:rFonts w:ascii="Calibri" w:hAnsi="Calibri" w:cs="Calibri"/>
        </w:rPr>
      </w:pPr>
    </w:p>
    <w:p w:rsidR="009A264A" w:rsidRPr="00C24EF5" w:rsidRDefault="002431D6" w:rsidP="00C24EF5">
      <w:pPr>
        <w:pStyle w:val="Balk1"/>
        <w:jc w:val="both"/>
        <w:rPr>
          <w:rFonts w:ascii="Calibri" w:hAnsi="Calibri" w:cs="Calibri"/>
          <w:sz w:val="22"/>
          <w:szCs w:val="22"/>
        </w:rPr>
      </w:pPr>
      <w:r w:rsidRPr="00C24EF5">
        <w:rPr>
          <w:rFonts w:ascii="Calibri" w:hAnsi="Calibri" w:cs="Calibri"/>
          <w:sz w:val="22"/>
          <w:szCs w:val="22"/>
        </w:rPr>
        <w:t>KURUM BİLGİLERİ</w:t>
      </w:r>
    </w:p>
    <w:p w:rsidR="009A264A" w:rsidRPr="00C24EF5" w:rsidRDefault="002431D6" w:rsidP="00C24EF5">
      <w:pPr>
        <w:spacing w:after="120"/>
        <w:jc w:val="both"/>
        <w:rPr>
          <w:rFonts w:ascii="Calibri" w:hAnsi="Calibri" w:cs="Calibri"/>
        </w:rPr>
      </w:pPr>
      <w:r w:rsidRPr="00C24EF5">
        <w:rPr>
          <w:rFonts w:ascii="Calibri" w:hAnsi="Calibri" w:cs="Calibri"/>
        </w:rPr>
        <w:t>Ankete katılan kurum/kuruluşlara ait bilgiler aşağıdaki tabloda sunulmuştur. Son sütun, işverenlerin staj yapan öğrencileri mezuniyet sonrasında istihdam etme eğilimini göstermektedir.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1672"/>
        <w:gridCol w:w="1198"/>
        <w:gridCol w:w="1165"/>
        <w:gridCol w:w="1433"/>
        <w:gridCol w:w="1681"/>
      </w:tblGrid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KURUM ADI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FAALİYET ALANI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PERSONEL SAYISI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STAJYER SAYISI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GÖREVI</w:t>
            </w:r>
          </w:p>
        </w:tc>
        <w:tc>
          <w:tcPr>
            <w:tcW w:w="1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MEZUNİYET SONRASI İSTİHDAM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 xml:space="preserve"> VM </w:t>
            </w:r>
            <w:proofErr w:type="spellStart"/>
            <w:r w:rsidRPr="00C24EF5">
              <w:rPr>
                <w:rFonts w:ascii="Calibri" w:hAnsi="Calibri" w:cs="Calibri"/>
              </w:rPr>
              <w:t>Medicalpark</w:t>
            </w:r>
            <w:proofErr w:type="spellEnd"/>
            <w:r w:rsidRPr="00C24EF5">
              <w:rPr>
                <w:rFonts w:ascii="Calibri" w:hAnsi="Calibri" w:cs="Calibri"/>
              </w:rPr>
              <w:t xml:space="preserve"> Mersin Hastanesi 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 xml:space="preserve">Hasta Bakım 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150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13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 xml:space="preserve">Eğitim </w:t>
            </w:r>
            <w:proofErr w:type="spellStart"/>
            <w:r w:rsidRPr="00C24EF5">
              <w:rPr>
                <w:rFonts w:ascii="Calibri" w:hAnsi="Calibri" w:cs="Calibri"/>
              </w:rPr>
              <w:t>Hemsiresi</w:t>
            </w:r>
            <w:proofErr w:type="spellEnd"/>
          </w:p>
        </w:tc>
        <w:tc>
          <w:tcPr>
            <w:tcW w:w="1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4 (olumlu)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 xml:space="preserve">Mersin Şehir Eğitim ve Araştırma Hastanesi 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Sağlık Hizmet Sınıfı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3000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880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Staj Koordinatörü</w:t>
            </w:r>
          </w:p>
        </w:tc>
        <w:tc>
          <w:tcPr>
            <w:tcW w:w="1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5 (çok olumlu)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 xml:space="preserve">Yardım ve İyilik Vakfı Özel Huzurevi ve </w:t>
            </w:r>
            <w:proofErr w:type="spellStart"/>
            <w:r w:rsidRPr="00C24EF5">
              <w:rPr>
                <w:rFonts w:ascii="Calibri" w:hAnsi="Calibri" w:cs="Calibri"/>
              </w:rPr>
              <w:t>YaşlıBakim</w:t>
            </w:r>
            <w:proofErr w:type="spellEnd"/>
            <w:r w:rsidRPr="00C24EF5">
              <w:rPr>
                <w:rFonts w:ascii="Calibri" w:hAnsi="Calibri" w:cs="Calibri"/>
              </w:rPr>
              <w:t xml:space="preserve"> Merkezi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 xml:space="preserve">Huzurevi </w:t>
            </w:r>
            <w:proofErr w:type="spellStart"/>
            <w:r w:rsidRPr="00C24EF5">
              <w:rPr>
                <w:rFonts w:ascii="Calibri" w:hAnsi="Calibri" w:cs="Calibri"/>
              </w:rPr>
              <w:t>Yaşli</w:t>
            </w:r>
            <w:proofErr w:type="spellEnd"/>
            <w:r w:rsidRPr="00C24EF5">
              <w:rPr>
                <w:rFonts w:ascii="Calibri" w:hAnsi="Calibri" w:cs="Calibri"/>
              </w:rPr>
              <w:t xml:space="preserve"> Bakım 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27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30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 xml:space="preserve">Müdür </w:t>
            </w:r>
          </w:p>
        </w:tc>
        <w:tc>
          <w:tcPr>
            <w:tcW w:w="1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3 (kararsızım)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 xml:space="preserve">Özel Toros Koleji 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 xml:space="preserve">Eğitim 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150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15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 xml:space="preserve">Hemşire </w:t>
            </w:r>
          </w:p>
        </w:tc>
        <w:tc>
          <w:tcPr>
            <w:tcW w:w="1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3 (kararsızım)</w:t>
            </w:r>
          </w:p>
        </w:tc>
      </w:tr>
    </w:tbl>
    <w:p w:rsidR="009A264A" w:rsidRDefault="009A264A" w:rsidP="00C24EF5">
      <w:pPr>
        <w:spacing w:after="200"/>
        <w:jc w:val="both"/>
        <w:rPr>
          <w:rFonts w:ascii="Calibri" w:hAnsi="Calibri" w:cs="Calibri"/>
        </w:rPr>
      </w:pPr>
    </w:p>
    <w:p w:rsidR="002431D6" w:rsidRPr="00C24EF5" w:rsidRDefault="002431D6" w:rsidP="00C24EF5">
      <w:pPr>
        <w:spacing w:after="200"/>
        <w:jc w:val="both"/>
        <w:rPr>
          <w:rFonts w:ascii="Calibri" w:hAnsi="Calibri" w:cs="Calibri"/>
        </w:rPr>
      </w:pPr>
    </w:p>
    <w:p w:rsidR="009A264A" w:rsidRPr="00C24EF5" w:rsidRDefault="002431D6" w:rsidP="00C24EF5">
      <w:pPr>
        <w:pStyle w:val="Balk1"/>
        <w:jc w:val="both"/>
        <w:rPr>
          <w:rFonts w:ascii="Calibri" w:hAnsi="Calibri" w:cs="Calibri"/>
          <w:sz w:val="22"/>
          <w:szCs w:val="22"/>
        </w:rPr>
      </w:pPr>
      <w:r w:rsidRPr="00C24EF5">
        <w:rPr>
          <w:rFonts w:ascii="Calibri" w:hAnsi="Calibri" w:cs="Calibri"/>
          <w:sz w:val="22"/>
          <w:szCs w:val="22"/>
        </w:rPr>
        <w:lastRenderedPageBreak/>
        <w:t>ANKETİN İÇERİĞİ</w:t>
      </w:r>
    </w:p>
    <w:p w:rsidR="009A264A" w:rsidRPr="00C24EF5" w:rsidRDefault="002431D6" w:rsidP="00C24EF5">
      <w:pPr>
        <w:spacing w:after="200"/>
        <w:jc w:val="both"/>
        <w:rPr>
          <w:rFonts w:ascii="Calibri" w:hAnsi="Calibri" w:cs="Calibri"/>
        </w:rPr>
      </w:pPr>
      <w:r w:rsidRPr="00C24EF5">
        <w:rPr>
          <w:rFonts w:ascii="Calibri" w:hAnsi="Calibri" w:cs="Calibri"/>
        </w:rPr>
        <w:t xml:space="preserve">Ankette toplam 7 adet değerlendirme sorusu yer almaktadır. İşverenlerden 5'li </w:t>
      </w:r>
      <w:proofErr w:type="spellStart"/>
      <w:r w:rsidRPr="00C24EF5">
        <w:rPr>
          <w:rFonts w:ascii="Calibri" w:hAnsi="Calibri" w:cs="Calibri"/>
        </w:rPr>
        <w:t>Likert</w:t>
      </w:r>
      <w:proofErr w:type="spellEnd"/>
      <w:r w:rsidRPr="00C24EF5">
        <w:rPr>
          <w:rFonts w:ascii="Calibri" w:hAnsi="Calibri" w:cs="Calibri"/>
        </w:rPr>
        <w:t xml:space="preserve"> ölçeğine göre değerlendirme yapmaları istenmiştir (1: Olumsuz; 2: Az Olumlu; 3: Kararsızım; 4: Olumlu; 5: Çok Olumlu). Sonuçlar her soru için ortalama puan hesaplanarak de</w:t>
      </w:r>
      <w:r w:rsidRPr="00C24EF5">
        <w:rPr>
          <w:rFonts w:ascii="Calibri" w:hAnsi="Calibri" w:cs="Calibri"/>
        </w:rPr>
        <w:t>ğerlendirilmiştir.</w:t>
      </w:r>
    </w:p>
    <w:p w:rsidR="009A264A" w:rsidRPr="00C24EF5" w:rsidRDefault="002431D6" w:rsidP="00C24EF5">
      <w:pPr>
        <w:pStyle w:val="Balk2"/>
        <w:jc w:val="both"/>
        <w:rPr>
          <w:rFonts w:ascii="Calibri" w:hAnsi="Calibri" w:cs="Calibri"/>
          <w:sz w:val="22"/>
          <w:szCs w:val="22"/>
        </w:rPr>
      </w:pPr>
      <w:r w:rsidRPr="00C24EF5">
        <w:rPr>
          <w:rFonts w:ascii="Calibri" w:hAnsi="Calibri" w:cs="Calibri"/>
          <w:sz w:val="22"/>
          <w:szCs w:val="22"/>
        </w:rPr>
        <w:t>Değerlendirme Soruları – Ortalama Puanlar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360"/>
        <w:gridCol w:w="1200"/>
        <w:gridCol w:w="1200"/>
      </w:tblGrid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NO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DEĞERLENDİRME SORULARI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ORT. PUAN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5'li PUAN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1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Kurumunuz staj yapan öğrencileri iş hayatına ne kadar hazırlamaktadır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4,50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5,00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Yaptırdığınız stajları uygulama yaptırma ve deneyimlerinizi aktarma amaçlarına dönük olarak nasıl değerlendirirsiniz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4,50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5,00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3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Stajyer öğrencimizin almış olduğu teorik bilgileri kullanabilme ve uygulamaya aktarma becerisini nasıl değerlendirirsiniz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4,50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5,00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4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Staj sırasında öğrencimiz alanındaki uygulamaları için gerekli teknikleri ve araçları ne derece kullanma becerisi kazanmıştır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4,25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5,00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5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Öğrencimiz, stajı sırasında alanıyla ilgili konuları ne derecede sorgulayarak araştırmış ve öğrenebilmiştir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4,50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5,00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6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Öğrencimizin kurumunuzdaki görevli personelle iletişim kurabilme yeteneğini nasıl değerlendirirsiniz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4,50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5,00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7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proofErr w:type="gramStart"/>
            <w:r w:rsidRPr="00C24EF5">
              <w:rPr>
                <w:rFonts w:ascii="Calibri" w:hAnsi="Calibri" w:cs="Calibri"/>
              </w:rPr>
              <w:t>Kurumunuzda staj yapan öğrencimizi mezuniyetinden sonra işyerinizde çalıştırmak ister misiniz</w:t>
            </w:r>
            <w:proofErr w:type="gram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4,50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5,00</w:t>
            </w:r>
          </w:p>
        </w:tc>
      </w:tr>
      <w:tr w:rsidR="009A264A" w:rsidRPr="00C24EF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9A264A" w:rsidP="00C24E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ORTALAMA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</w:rPr>
              <w:t>4,46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5,00</w:t>
            </w:r>
          </w:p>
        </w:tc>
      </w:tr>
    </w:tbl>
    <w:p w:rsidR="009A264A" w:rsidRPr="00C24EF5" w:rsidRDefault="009A264A" w:rsidP="00C24EF5">
      <w:pPr>
        <w:spacing w:after="200"/>
        <w:jc w:val="both"/>
        <w:rPr>
          <w:rFonts w:ascii="Calibri" w:hAnsi="Calibri" w:cs="Calibri"/>
        </w:rPr>
      </w:pPr>
    </w:p>
    <w:p w:rsidR="009A264A" w:rsidRPr="00C24EF5" w:rsidRDefault="002431D6" w:rsidP="00C24EF5">
      <w:pPr>
        <w:pStyle w:val="Balk2"/>
        <w:jc w:val="both"/>
        <w:rPr>
          <w:rFonts w:ascii="Calibri" w:hAnsi="Calibri" w:cs="Calibri"/>
          <w:sz w:val="22"/>
          <w:szCs w:val="22"/>
        </w:rPr>
      </w:pPr>
      <w:r w:rsidRPr="00C24EF5">
        <w:rPr>
          <w:rFonts w:ascii="Calibri" w:hAnsi="Calibri" w:cs="Calibri"/>
          <w:sz w:val="22"/>
          <w:szCs w:val="22"/>
        </w:rPr>
        <w:t>Değerlendirme Soruları – Yanıt Dağılımı</w:t>
      </w: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128"/>
        <w:gridCol w:w="515"/>
        <w:gridCol w:w="530"/>
        <w:gridCol w:w="515"/>
        <w:gridCol w:w="515"/>
        <w:gridCol w:w="577"/>
      </w:tblGrid>
      <w:tr w:rsidR="002431D6" w:rsidRPr="00C24EF5" w:rsidTr="002431D6">
        <w:tblPrEx>
          <w:tblCellMar>
            <w:top w:w="0" w:type="dxa"/>
            <w:bottom w:w="0" w:type="dxa"/>
          </w:tblCellMar>
        </w:tblPrEx>
        <w:trPr>
          <w:cantSplit/>
          <w:trHeight w:val="1597"/>
        </w:trPr>
        <w:tc>
          <w:tcPr>
            <w:tcW w:w="5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NO</w:t>
            </w:r>
          </w:p>
        </w:tc>
        <w:tc>
          <w:tcPr>
            <w:tcW w:w="635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SORU</w:t>
            </w:r>
          </w:p>
        </w:tc>
        <w:tc>
          <w:tcPr>
            <w:tcW w:w="2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textDirection w:val="btLr"/>
            <w:vAlign w:val="center"/>
          </w:tcPr>
          <w:p w:rsidR="009A264A" w:rsidRPr="00C24EF5" w:rsidRDefault="002431D6" w:rsidP="002431D6">
            <w:pPr>
              <w:ind w:left="113" w:right="113"/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1-Olumsuz</w:t>
            </w:r>
          </w:p>
        </w:tc>
        <w:tc>
          <w:tcPr>
            <w:tcW w:w="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textDirection w:val="btLr"/>
            <w:vAlign w:val="center"/>
          </w:tcPr>
          <w:p w:rsidR="009A264A" w:rsidRPr="00C24EF5" w:rsidRDefault="002431D6" w:rsidP="002431D6">
            <w:pPr>
              <w:ind w:left="113" w:right="113"/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2-Az Olumlu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textDirection w:val="btLr"/>
            <w:vAlign w:val="center"/>
          </w:tcPr>
          <w:p w:rsidR="009A264A" w:rsidRPr="00C24EF5" w:rsidRDefault="002431D6" w:rsidP="002431D6">
            <w:pPr>
              <w:ind w:left="113" w:right="113"/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3-Kararsızım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textDirection w:val="btLr"/>
            <w:vAlign w:val="center"/>
          </w:tcPr>
          <w:p w:rsidR="009A264A" w:rsidRPr="00C24EF5" w:rsidRDefault="002431D6" w:rsidP="002431D6">
            <w:pPr>
              <w:ind w:left="113" w:right="113"/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4-Olumlu</w:t>
            </w:r>
          </w:p>
        </w:tc>
        <w:tc>
          <w:tcPr>
            <w:tcW w:w="5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  <w:textDirection w:val="btLr"/>
            <w:vAlign w:val="center"/>
          </w:tcPr>
          <w:p w:rsidR="009A264A" w:rsidRPr="00C24EF5" w:rsidRDefault="002431D6" w:rsidP="002431D6">
            <w:pPr>
              <w:ind w:left="113" w:right="113"/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  <w:b/>
                <w:bCs/>
                <w:color w:val="FFFFFF"/>
              </w:rPr>
              <w:t>5-Çok Olumlu</w:t>
            </w:r>
          </w:p>
        </w:tc>
      </w:tr>
      <w:tr w:rsidR="002431D6" w:rsidRPr="00C24EF5" w:rsidTr="002431D6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1</w:t>
            </w:r>
          </w:p>
        </w:tc>
        <w:tc>
          <w:tcPr>
            <w:tcW w:w="635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Kurumunuz staj yapan öğrencileri iş hayatına ne kadar hazırlamaktadır</w:t>
            </w:r>
          </w:p>
        </w:tc>
        <w:tc>
          <w:tcPr>
            <w:tcW w:w="2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  <w:tc>
          <w:tcPr>
            <w:tcW w:w="5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</w:tr>
      <w:tr w:rsidR="002431D6" w:rsidRPr="00C24EF5" w:rsidTr="002431D6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  <w:tc>
          <w:tcPr>
            <w:tcW w:w="635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Yaptırdığınız stajları uygulama yaptırma ve deneyimlerinizi aktarma amaçlarına dönük olarak nasıl değerlendirirsiniz</w:t>
            </w:r>
          </w:p>
        </w:tc>
        <w:tc>
          <w:tcPr>
            <w:tcW w:w="2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  <w:bookmarkStart w:id="0" w:name="_GoBack"/>
            <w:bookmarkEnd w:id="0"/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  <w:tc>
          <w:tcPr>
            <w:tcW w:w="5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</w:tr>
      <w:tr w:rsidR="002431D6" w:rsidRPr="00C24EF5" w:rsidTr="002431D6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3</w:t>
            </w:r>
          </w:p>
        </w:tc>
        <w:tc>
          <w:tcPr>
            <w:tcW w:w="635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Stajyer öğrencimizin almış olduğu teorik bilgileri kullanabilme ve uygulamaya aktarma becerisini nasıl değerlendirirsiniz</w:t>
            </w:r>
          </w:p>
        </w:tc>
        <w:tc>
          <w:tcPr>
            <w:tcW w:w="2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  <w:tc>
          <w:tcPr>
            <w:tcW w:w="5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</w:tr>
      <w:tr w:rsidR="002431D6" w:rsidRPr="00C24EF5" w:rsidTr="002431D6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4</w:t>
            </w:r>
          </w:p>
        </w:tc>
        <w:tc>
          <w:tcPr>
            <w:tcW w:w="635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Staj sırasında öğrencimiz alanındaki uygulamaları için gerekli teknikleri ve araçları ne derece kullanma becerisi kazanmıştır</w:t>
            </w:r>
          </w:p>
        </w:tc>
        <w:tc>
          <w:tcPr>
            <w:tcW w:w="2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1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1</w:t>
            </w:r>
          </w:p>
        </w:tc>
        <w:tc>
          <w:tcPr>
            <w:tcW w:w="5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</w:tr>
      <w:tr w:rsidR="002431D6" w:rsidRPr="00C24EF5" w:rsidTr="002431D6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635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Öğrencimiz, stajı sırasında alanıyla ilgili konuları ne derecede sorgulayarak araştırmış ve öğrenebilmiştir</w:t>
            </w:r>
          </w:p>
        </w:tc>
        <w:tc>
          <w:tcPr>
            <w:tcW w:w="2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  <w:tc>
          <w:tcPr>
            <w:tcW w:w="5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</w:tr>
      <w:tr w:rsidR="002431D6" w:rsidRPr="00C24EF5" w:rsidTr="002431D6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6</w:t>
            </w:r>
          </w:p>
        </w:tc>
        <w:tc>
          <w:tcPr>
            <w:tcW w:w="635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Öğrencimizin kurumunuzdaki görevli personelle iletişim kurabilme yeteneğini nasıl değerlendirirsiniz</w:t>
            </w:r>
          </w:p>
        </w:tc>
        <w:tc>
          <w:tcPr>
            <w:tcW w:w="2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  <w:tc>
          <w:tcPr>
            <w:tcW w:w="5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</w:tr>
      <w:tr w:rsidR="002431D6" w:rsidRPr="00C24EF5" w:rsidTr="002431D6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7</w:t>
            </w:r>
          </w:p>
        </w:tc>
        <w:tc>
          <w:tcPr>
            <w:tcW w:w="635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proofErr w:type="gramStart"/>
            <w:r w:rsidRPr="00C24EF5">
              <w:rPr>
                <w:rFonts w:ascii="Calibri" w:hAnsi="Calibri" w:cs="Calibri"/>
              </w:rPr>
              <w:t>Kurumunuzda staj yapan öğrencimizi mezuniyetinden sonra işyerinizde çalıştırmak ister misiniz</w:t>
            </w:r>
            <w:proofErr w:type="gramEnd"/>
          </w:p>
        </w:tc>
        <w:tc>
          <w:tcPr>
            <w:tcW w:w="28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  <w:tc>
          <w:tcPr>
            <w:tcW w:w="5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9A264A" w:rsidRPr="00C24EF5" w:rsidRDefault="002431D6" w:rsidP="00C24EF5">
            <w:pPr>
              <w:jc w:val="both"/>
              <w:rPr>
                <w:rFonts w:ascii="Calibri" w:hAnsi="Calibri" w:cs="Calibri"/>
              </w:rPr>
            </w:pPr>
            <w:r w:rsidRPr="00C24EF5">
              <w:rPr>
                <w:rFonts w:ascii="Calibri" w:hAnsi="Calibri" w:cs="Calibri"/>
              </w:rPr>
              <w:t>2</w:t>
            </w:r>
          </w:p>
        </w:tc>
      </w:tr>
    </w:tbl>
    <w:p w:rsidR="009A264A" w:rsidRPr="00C24EF5" w:rsidRDefault="009A264A" w:rsidP="00C24EF5">
      <w:pPr>
        <w:spacing w:after="200"/>
        <w:jc w:val="both"/>
        <w:rPr>
          <w:rFonts w:ascii="Calibri" w:hAnsi="Calibri" w:cs="Calibri"/>
        </w:rPr>
      </w:pPr>
    </w:p>
    <w:p w:rsidR="009A264A" w:rsidRPr="00C24EF5" w:rsidRDefault="002431D6" w:rsidP="00C24EF5">
      <w:pPr>
        <w:pStyle w:val="Balk1"/>
        <w:jc w:val="both"/>
        <w:rPr>
          <w:rFonts w:ascii="Calibri" w:hAnsi="Calibri" w:cs="Calibri"/>
          <w:sz w:val="22"/>
          <w:szCs w:val="22"/>
        </w:rPr>
      </w:pPr>
      <w:r w:rsidRPr="00C24EF5">
        <w:rPr>
          <w:rFonts w:ascii="Calibri" w:hAnsi="Calibri" w:cs="Calibri"/>
          <w:sz w:val="22"/>
          <w:szCs w:val="22"/>
        </w:rPr>
        <w:t>DEĞERLENDİRME</w:t>
      </w:r>
    </w:p>
    <w:p w:rsidR="009A264A" w:rsidRPr="00C24EF5" w:rsidRDefault="002431D6" w:rsidP="00C24EF5">
      <w:pPr>
        <w:spacing w:after="200"/>
        <w:jc w:val="both"/>
        <w:rPr>
          <w:rFonts w:ascii="Calibri" w:hAnsi="Calibri" w:cs="Calibri"/>
        </w:rPr>
      </w:pPr>
      <w:r w:rsidRPr="00C24EF5">
        <w:rPr>
          <w:rFonts w:ascii="Calibri" w:hAnsi="Calibri" w:cs="Calibri"/>
        </w:rPr>
        <w:t>2025-2026 Eğitim-Öğretim Yılında Toros Üniversitesi Hemşirelik Bölümü öğrencilerinin staj yaptığı kurum/kuruluşlara İşveren Staj Uygulama Değerlendirme Anketi uygulanmıştır. Ankete toplam 4 kurum/kuruluş katılmıştır. Katılım sağlayan kurumlar şunlardır: VM</w:t>
      </w:r>
      <w:r w:rsidRPr="00C24EF5">
        <w:rPr>
          <w:rFonts w:ascii="Calibri" w:hAnsi="Calibri" w:cs="Calibri"/>
        </w:rPr>
        <w:t xml:space="preserve"> </w:t>
      </w:r>
      <w:proofErr w:type="spellStart"/>
      <w:r w:rsidRPr="00C24EF5">
        <w:rPr>
          <w:rFonts w:ascii="Calibri" w:hAnsi="Calibri" w:cs="Calibri"/>
        </w:rPr>
        <w:t>Medicalpark</w:t>
      </w:r>
      <w:proofErr w:type="spellEnd"/>
      <w:r w:rsidRPr="00C24EF5">
        <w:rPr>
          <w:rFonts w:ascii="Calibri" w:hAnsi="Calibri" w:cs="Calibri"/>
        </w:rPr>
        <w:t xml:space="preserve"> Mersin Hastanesi; Mersin Şehir Eğitim ve Araştırma Hastanesi; Yardım ve İyilik Vakfı Özel Huzurevi ve </w:t>
      </w:r>
      <w:proofErr w:type="spellStart"/>
      <w:r w:rsidRPr="00C24EF5">
        <w:rPr>
          <w:rFonts w:ascii="Calibri" w:hAnsi="Calibri" w:cs="Calibri"/>
        </w:rPr>
        <w:t>YaşlıBakim</w:t>
      </w:r>
      <w:proofErr w:type="spellEnd"/>
      <w:r w:rsidRPr="00C24EF5">
        <w:rPr>
          <w:rFonts w:ascii="Calibri" w:hAnsi="Calibri" w:cs="Calibri"/>
        </w:rPr>
        <w:t xml:space="preserve"> Merkezi; Özel Toros Koleji. Anket sonuçlarına göre hem sorular bazında hem de genel ortalama olarak (Genel Ortalama: 4,46), işvere</w:t>
      </w:r>
      <w:r w:rsidRPr="00C24EF5">
        <w:rPr>
          <w:rFonts w:ascii="Calibri" w:hAnsi="Calibri" w:cs="Calibri"/>
        </w:rPr>
        <w:t>nlerin stajyer öğrencilere ve staj sürecine ilişkin memnuniyet düzeyinin yüksek olduğu tespit edilmiştir. Öğrencilerin teorik bilgileri pratiğe aktarma, personel ile iletişim kurma ve mesleki beceri kazanma konularında olumlu değerlendirildiği görülmüştür.</w:t>
      </w:r>
      <w:r w:rsidRPr="00C24EF5">
        <w:rPr>
          <w:rFonts w:ascii="Calibri" w:hAnsi="Calibri" w:cs="Calibri"/>
        </w:rPr>
        <w:t xml:space="preserve"> Görece düşük ortalamaya sahip "Staj sırasında öğrencimiz alanındaki uygulamaları için gerekli teknikleri ve araçları ne derece kullanma becerisi kazanmıştır" maddesi, iyileştirmeye açık alan olarak değerlendirilmiştir.</w:t>
      </w:r>
    </w:p>
    <w:p w:rsidR="009A264A" w:rsidRPr="00C24EF5" w:rsidRDefault="009A264A" w:rsidP="00C24EF5">
      <w:pPr>
        <w:spacing w:after="100"/>
        <w:jc w:val="both"/>
        <w:rPr>
          <w:rFonts w:ascii="Calibri" w:hAnsi="Calibri" w:cs="Calibri"/>
        </w:rPr>
      </w:pPr>
    </w:p>
    <w:p w:rsidR="009A264A" w:rsidRPr="00C24EF5" w:rsidRDefault="002431D6" w:rsidP="00C24EF5">
      <w:pPr>
        <w:jc w:val="both"/>
        <w:rPr>
          <w:rFonts w:ascii="Calibri" w:hAnsi="Calibri" w:cs="Calibri"/>
        </w:rPr>
      </w:pPr>
      <w:r w:rsidRPr="00C24EF5">
        <w:rPr>
          <w:rFonts w:ascii="Calibri" w:hAnsi="Calibri" w:cs="Calibri"/>
        </w:rPr>
        <w:t>Kalite Komisyonu</w:t>
      </w:r>
    </w:p>
    <w:p w:rsidR="009A264A" w:rsidRPr="00C24EF5" w:rsidRDefault="009A264A" w:rsidP="00C24EF5">
      <w:pPr>
        <w:spacing w:after="200"/>
        <w:jc w:val="both"/>
        <w:rPr>
          <w:rFonts w:ascii="Calibri" w:hAnsi="Calibri" w:cs="Calibri"/>
        </w:rPr>
      </w:pPr>
    </w:p>
    <w:p w:rsidR="009A264A" w:rsidRPr="00C24EF5" w:rsidRDefault="002431D6" w:rsidP="00C24EF5">
      <w:pPr>
        <w:pStyle w:val="Balk1"/>
        <w:jc w:val="both"/>
        <w:rPr>
          <w:rFonts w:ascii="Calibri" w:hAnsi="Calibri" w:cs="Calibri"/>
          <w:sz w:val="22"/>
          <w:szCs w:val="22"/>
        </w:rPr>
      </w:pPr>
      <w:r w:rsidRPr="00C24EF5">
        <w:rPr>
          <w:rFonts w:ascii="Calibri" w:hAnsi="Calibri" w:cs="Calibri"/>
          <w:sz w:val="22"/>
          <w:szCs w:val="22"/>
        </w:rPr>
        <w:t>İYİLEŞTİRME</w:t>
      </w:r>
    </w:p>
    <w:p w:rsidR="009A264A" w:rsidRPr="00C24EF5" w:rsidRDefault="002431D6" w:rsidP="00C24EF5">
      <w:pPr>
        <w:spacing w:after="200"/>
        <w:jc w:val="both"/>
        <w:rPr>
          <w:rFonts w:ascii="Calibri" w:hAnsi="Calibri" w:cs="Calibri"/>
        </w:rPr>
      </w:pPr>
      <w:proofErr w:type="gramStart"/>
      <w:r w:rsidRPr="00C24EF5">
        <w:rPr>
          <w:rFonts w:ascii="Calibri" w:hAnsi="Calibri" w:cs="Calibri"/>
        </w:rPr>
        <w:t>İşver</w:t>
      </w:r>
      <w:r w:rsidRPr="00C24EF5">
        <w:rPr>
          <w:rFonts w:ascii="Calibri" w:hAnsi="Calibri" w:cs="Calibri"/>
        </w:rPr>
        <w:t>en değerlendirmeleri kapsamında "Staj sırasında öğrencimiz alanındaki uygulamaları için gerekli teknikleri ve araçları ne derece kullanma becerisi kazanmıştır" konusunda iyileştirme yapılmasına; staj sürecinde öğrencilerin uygulama tekniklerini ve araç-ger</w:t>
      </w:r>
      <w:r w:rsidRPr="00C24EF5">
        <w:rPr>
          <w:rFonts w:ascii="Calibri" w:hAnsi="Calibri" w:cs="Calibri"/>
        </w:rPr>
        <w:t>eç kullanımını daha etkin biçimde kullanabilmesi amacıyla teorik eğitimlerin güçlendirilmesine ve uygulama kurumları ile dönemsel toplantılar düzenlenerek süreç hakkında düzenli geri bildirim alınmasına karar verilmiştir.</w:t>
      </w:r>
      <w:proofErr w:type="gramEnd"/>
    </w:p>
    <w:p w:rsidR="009A264A" w:rsidRPr="00C24EF5" w:rsidRDefault="002431D6" w:rsidP="00C24EF5">
      <w:pPr>
        <w:jc w:val="both"/>
        <w:rPr>
          <w:rFonts w:ascii="Calibri" w:hAnsi="Calibri" w:cs="Calibri"/>
        </w:rPr>
      </w:pPr>
      <w:r w:rsidRPr="00C24EF5">
        <w:rPr>
          <w:rFonts w:ascii="Calibri" w:hAnsi="Calibri" w:cs="Calibri"/>
        </w:rPr>
        <w:t>Bölüm Kurulu</w:t>
      </w:r>
    </w:p>
    <w:sectPr w:rsidR="009A264A" w:rsidRPr="00C24E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961ED"/>
    <w:multiLevelType w:val="hybridMultilevel"/>
    <w:tmpl w:val="3600E50C"/>
    <w:lvl w:ilvl="0" w:tplc="A3FEF22C">
      <w:start w:val="1"/>
      <w:numFmt w:val="bullet"/>
      <w:lvlText w:val="●"/>
      <w:lvlJc w:val="left"/>
      <w:pPr>
        <w:ind w:left="720" w:hanging="360"/>
      </w:pPr>
    </w:lvl>
    <w:lvl w:ilvl="1" w:tplc="04BC23C6">
      <w:start w:val="1"/>
      <w:numFmt w:val="bullet"/>
      <w:lvlText w:val="○"/>
      <w:lvlJc w:val="left"/>
      <w:pPr>
        <w:ind w:left="1440" w:hanging="360"/>
      </w:pPr>
    </w:lvl>
    <w:lvl w:ilvl="2" w:tplc="BFF0DB76">
      <w:start w:val="1"/>
      <w:numFmt w:val="bullet"/>
      <w:lvlText w:val="■"/>
      <w:lvlJc w:val="left"/>
      <w:pPr>
        <w:ind w:left="2160" w:hanging="360"/>
      </w:pPr>
    </w:lvl>
    <w:lvl w:ilvl="3" w:tplc="F4D88A06">
      <w:start w:val="1"/>
      <w:numFmt w:val="bullet"/>
      <w:lvlText w:val="●"/>
      <w:lvlJc w:val="left"/>
      <w:pPr>
        <w:ind w:left="2880" w:hanging="360"/>
      </w:pPr>
    </w:lvl>
    <w:lvl w:ilvl="4" w:tplc="78BE72EA">
      <w:start w:val="1"/>
      <w:numFmt w:val="bullet"/>
      <w:lvlText w:val="○"/>
      <w:lvlJc w:val="left"/>
      <w:pPr>
        <w:ind w:left="3600" w:hanging="360"/>
      </w:pPr>
    </w:lvl>
    <w:lvl w:ilvl="5" w:tplc="FE301148">
      <w:start w:val="1"/>
      <w:numFmt w:val="bullet"/>
      <w:lvlText w:val="■"/>
      <w:lvlJc w:val="left"/>
      <w:pPr>
        <w:ind w:left="4320" w:hanging="360"/>
      </w:pPr>
    </w:lvl>
    <w:lvl w:ilvl="6" w:tplc="4FBAE9AC">
      <w:start w:val="1"/>
      <w:numFmt w:val="bullet"/>
      <w:lvlText w:val="●"/>
      <w:lvlJc w:val="left"/>
      <w:pPr>
        <w:ind w:left="5040" w:hanging="360"/>
      </w:pPr>
    </w:lvl>
    <w:lvl w:ilvl="7" w:tplc="03B6DA44">
      <w:start w:val="1"/>
      <w:numFmt w:val="bullet"/>
      <w:lvlText w:val="●"/>
      <w:lvlJc w:val="left"/>
      <w:pPr>
        <w:ind w:left="5760" w:hanging="360"/>
      </w:pPr>
    </w:lvl>
    <w:lvl w:ilvl="8" w:tplc="201A114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4A"/>
    <w:rsid w:val="002431D6"/>
    <w:rsid w:val="009A264A"/>
    <w:rsid w:val="00C2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A7BE"/>
  <w15:docId w15:val="{732A394C-26C4-484C-B7C6-B0ACD859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240" w:after="160"/>
      <w:outlineLvl w:val="0"/>
    </w:pPr>
    <w:rPr>
      <w:b/>
      <w:bCs/>
      <w:color w:val="1F4E78"/>
      <w:sz w:val="26"/>
      <w:szCs w:val="26"/>
    </w:rPr>
  </w:style>
  <w:style w:type="paragraph" w:styleId="Balk2">
    <w:name w:val="heading 2"/>
    <w:qFormat/>
    <w:pPr>
      <w:spacing w:before="200" w:after="120"/>
      <w:outlineLvl w:val="1"/>
    </w:pPr>
    <w:rPr>
      <w:b/>
      <w:bCs/>
      <w:color w:val="1F4E78"/>
      <w:sz w:val="23"/>
      <w:szCs w:val="23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BÜŞRA YÜRÜK</cp:lastModifiedBy>
  <cp:revision>3</cp:revision>
  <dcterms:created xsi:type="dcterms:W3CDTF">2026-07-01T06:55:00Z</dcterms:created>
  <dcterms:modified xsi:type="dcterms:W3CDTF">2026-07-01T07:01:00Z</dcterms:modified>
</cp:coreProperties>
</file>